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DD" w:rsidRDefault="00792F1B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 ПЕРЕЧНЕ СВЕДЕНИЙ, НАПРАВЛЯЕМЫХ В СОСТАВЕ ЗАЯВКИ </w:t>
      </w:r>
      <w:r w:rsidR="00416DDD">
        <w:rPr>
          <w:rFonts w:ascii="Times New Roman" w:hAnsi="Times New Roman" w:cs="Times New Roman"/>
          <w:b/>
        </w:rPr>
        <w:t>НА</w:t>
      </w:r>
      <w:r>
        <w:rPr>
          <w:rFonts w:ascii="Times New Roman" w:hAnsi="Times New Roman" w:cs="Times New Roman"/>
          <w:b/>
        </w:rPr>
        <w:t xml:space="preserve"> ПОДКЛЮЧЕНИ</w:t>
      </w:r>
      <w:r w:rsidR="00416DDD">
        <w:rPr>
          <w:rFonts w:ascii="Times New Roman" w:hAnsi="Times New Roman" w:cs="Times New Roman"/>
          <w:b/>
        </w:rPr>
        <w:t>Е</w:t>
      </w:r>
    </w:p>
    <w:p w:rsidR="000406D6" w:rsidRDefault="00792F1B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МУП Г.ЛЕРМОНТОВА «ЛЕРМОНТОВГОРГАЗ» НА 202</w:t>
      </w:r>
      <w:r w:rsidR="00416DD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</w:p>
    <w:p w:rsidR="000406D6" w:rsidRDefault="00792F1B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(п. 11 "</w:t>
      </w:r>
      <w:r w:rsidR="00416DDD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" Постановления Правительства РФ от </w:t>
      </w:r>
      <w:r w:rsidR="00416DDD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</w:t>
      </w:r>
      <w:r w:rsidR="00416DDD">
        <w:rPr>
          <w:rFonts w:ascii="Times New Roman" w:hAnsi="Times New Roman" w:cs="Times New Roman"/>
          <w:b/>
        </w:rPr>
        <w:t>05</w:t>
      </w:r>
      <w:r>
        <w:rPr>
          <w:rFonts w:ascii="Times New Roman" w:hAnsi="Times New Roman" w:cs="Times New Roman"/>
          <w:b/>
        </w:rPr>
        <w:t>.20</w:t>
      </w:r>
      <w:r w:rsidR="00416DDD">
        <w:rPr>
          <w:rFonts w:ascii="Times New Roman" w:hAnsi="Times New Roman" w:cs="Times New Roman"/>
          <w:b/>
        </w:rPr>
        <w:t>25г.</w:t>
      </w:r>
      <w:r>
        <w:rPr>
          <w:rFonts w:ascii="Times New Roman" w:hAnsi="Times New Roman" w:cs="Times New Roman"/>
          <w:b/>
        </w:rPr>
        <w:t xml:space="preserve"> №</w:t>
      </w:r>
      <w:r w:rsidR="00C555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82</w:t>
      </w:r>
      <w:r w:rsidR="00416DDD">
        <w:rPr>
          <w:rFonts w:ascii="Times New Roman" w:hAnsi="Times New Roman" w:cs="Times New Roman"/>
          <w:b/>
        </w:rPr>
        <w:t>1</w:t>
      </w:r>
      <w:r w:rsidR="00D0162E" w:rsidRPr="00D0162E">
        <w:rPr>
          <w:rFonts w:ascii="Times New Roman" w:hAnsi="Times New Roman" w:cs="Times New Roman"/>
          <w:b/>
        </w:rPr>
        <w:t>)</w:t>
      </w:r>
    </w:p>
    <w:tbl>
      <w:tblPr>
        <w:tblW w:w="1478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2269"/>
        <w:gridCol w:w="6103"/>
        <w:gridCol w:w="3474"/>
      </w:tblGrid>
      <w:tr w:rsidR="000406D6" w:rsidTr="00416DDD"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06D6" w:rsidRDefault="00792F1B" w:rsidP="00416DD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Цель, мотивация и причина подачи Заявки о подключении (технологическом присоединении)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06D6" w:rsidRDefault="00792F1B" w:rsidP="00416DD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подачи Заявки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06D6" w:rsidRDefault="00792F1B" w:rsidP="00416DD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Сведения, которые Заявитель указывает в заявке на подключение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06D6" w:rsidRDefault="00792F1B" w:rsidP="00416DD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Документы, прилагаемые к заявке Заявителем</w:t>
            </w:r>
          </w:p>
        </w:tc>
      </w:tr>
      <w:tr w:rsidR="000406D6"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BAA" w:rsidRPr="00544BAA" w:rsidRDefault="00544BAA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Заявка о подключении подае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ся заявителем в случае:</w:t>
            </w:r>
            <w:bookmarkStart w:id="0" w:name="l63"/>
            <w:bookmarkEnd w:id="0"/>
          </w:p>
          <w:p w:rsidR="00544BAA" w:rsidRPr="00544BAA" w:rsidRDefault="00544BAA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D2D03"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lang w:eastAsia="ru-RU"/>
              </w:rPr>
              <w:t>а)</w:t>
            </w:r>
            <w:r w:rsidR="00CE7528" w:rsidRPr="00BD2D03">
              <w:rPr>
                <w:rFonts w:ascii="Times New Roman" w:eastAsia="Times New Roman" w:hAnsi="Times New Roman" w:cs="Times New Roman"/>
                <w:color w:val="A6A6A6" w:themeColor="background1" w:themeShade="A6"/>
                <w:kern w:val="0"/>
                <w:lang w:eastAsia="ru-RU"/>
              </w:rPr>
              <w:t xml:space="preserve"> 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необходимости подключ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ния (технологического прис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единения) газоиспользующего оборудования или объекта к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питального строительства к сети газораспределения;</w:t>
            </w:r>
            <w:bookmarkStart w:id="1" w:name="l64"/>
            <w:bookmarkEnd w:id="1"/>
          </w:p>
          <w:p w:rsidR="00544BAA" w:rsidRDefault="00544BAA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44BAA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увеличения максимального часового расхода газа газои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</w:t>
            </w:r>
            <w:r w:rsidRPr="00544B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пользующего оборудования, за исключением случая, предусмотренного пунктом "а" </w:t>
            </w:r>
            <w:bookmarkStart w:id="2" w:name="l65"/>
            <w:bookmarkEnd w:id="2"/>
          </w:p>
          <w:p w:rsidR="00393ACE" w:rsidRPr="003D7359" w:rsidRDefault="00792F1B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D73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 случае проведения замены (реконструкции) газоиспол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ь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зующего оборудования по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ключенного объекта кап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тального строительства в гр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ницах земельного участка, на котором расположен объект капитального строительства, не влекущей изменение пар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метров ранее указанных в акте о подключении и (или) ма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симального расхода газа ранее установленного оборудования, и отсутствия необходимости 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фактического присоединения, кроме случая, указанного в абзаце втором настоящего пункта, заявитель направляет исполнителю уведомление о предстоящей замене (реко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струкции</w:t>
            </w:r>
            <w:proofErr w:type="gramEnd"/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) газоиспользующего оборудования подключенного объекта капитального стро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тельства не </w:t>
            </w:r>
            <w:proofErr w:type="gramStart"/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позднее</w:t>
            </w:r>
            <w:proofErr w:type="gramEnd"/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чем за 10 рабочих дней до начала работ по замене (реконструкции) газоиспользующего оборуд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вания с указанием изменений параметров газоиспользующ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="00393ACE"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го оборудования.</w:t>
            </w:r>
            <w:bookmarkStart w:id="3" w:name="l66"/>
            <w:bookmarkStart w:id="4" w:name="l1841"/>
            <w:bookmarkEnd w:id="3"/>
            <w:bookmarkEnd w:id="4"/>
          </w:p>
          <w:p w:rsidR="00393ACE" w:rsidRPr="00393ACE" w:rsidRDefault="00393ACE" w:rsidP="00071D57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93A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В случае проведения замены (реконструкции) газоиспользующего оборудования, при которой его максимальный часовой расход газа не превышает параметров, указанных в выданных исполнителем технических условиях, и (или) максимальный часовой расход газа установленного ранее газоиспользующего оборудования, заявитель направляет исполнителю уведомление о предстоящей замене не </w:t>
            </w:r>
            <w:proofErr w:type="gramStart"/>
            <w:r w:rsidRPr="00393A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позднее</w:t>
            </w:r>
            <w:proofErr w:type="gramEnd"/>
            <w:r w:rsidRPr="00393A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чем за 10 рабочих дней до начала работ по замене (реконструкции) газоиспользующего оборудования с указанием максимального часового расхода газа устанавливаемого газоиспользующего </w:t>
            </w:r>
            <w:r w:rsidRPr="00393A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оборудования.</w:t>
            </w:r>
            <w:bookmarkStart w:id="5" w:name="l67"/>
            <w:bookmarkStart w:id="6" w:name="l1842"/>
            <w:bookmarkEnd w:id="5"/>
            <w:bookmarkEnd w:id="6"/>
          </w:p>
          <w:p w:rsidR="000406D6" w:rsidRPr="003D7359" w:rsidRDefault="00393ACE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hAnsi="Times New Roman" w:cs="Times New Roman"/>
              </w:rPr>
            </w:pPr>
            <w:r w:rsidRPr="00393A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Требования настоящего пун</w:t>
            </w:r>
            <w:r w:rsidRPr="00393A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</w:t>
            </w:r>
            <w:r w:rsidRPr="00393A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 не применяются для случая замены газоиспользующего оборудования исполнителем.</w:t>
            </w:r>
            <w:bookmarkStart w:id="7" w:name="l68"/>
            <w:bookmarkEnd w:id="7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F5339" w:rsidRPr="005F5339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Для заключения дог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вора о подключении заявитель направляет на имя единого опер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тора газификации или регионального опер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тора газификации зая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ку о подключении с описью вложения.</w:t>
            </w:r>
            <w:bookmarkStart w:id="8" w:name="l70"/>
            <w:bookmarkEnd w:id="8"/>
          </w:p>
          <w:p w:rsidR="005F5339" w:rsidRPr="005F5339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Заявитель вправе пре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ставлять заявку о по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ключении исполнит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лю в офисе исполнит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ля, либо через личный кабинет заявителя, л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бо через многофункц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ональный центр пред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ставления госуда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ственных и муниц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пальных услуг (далее - многофункциональный центр), либо через ед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ный портал или через региональный портал при наличии технич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ской возможности пр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ема соответствующих заявок, либо письмом, направляемым в адрес исполнителя</w:t>
            </w:r>
            <w:proofErr w:type="gramStart"/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  <w:bookmarkStart w:id="9" w:name="l71"/>
            <w:bookmarkStart w:id="10" w:name="l1843"/>
            <w:bookmarkEnd w:id="9"/>
            <w:bookmarkEnd w:id="10"/>
            <w:proofErr w:type="gramEnd"/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(</w:t>
            </w:r>
            <w:proofErr w:type="gramStart"/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в</w:t>
            </w:r>
            <w:proofErr w:type="gramEnd"/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ред. </w:t>
            </w: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lastRenderedPageBreak/>
              <w:t>Постановления Прав</w:t>
            </w: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и</w:t>
            </w: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тельства РФ </w:t>
            </w:r>
            <w:hyperlink r:id="rId7" w:anchor="l5" w:tgtFrame="_blank" w:history="1">
              <w:r w:rsidRPr="005F5339">
                <w:rPr>
                  <w:rFonts w:ascii="Times New Roman" w:eastAsia="Times New Roman" w:hAnsi="Times New Roman" w:cs="Times New Roman"/>
                  <w:color w:val="808080"/>
                  <w:kern w:val="0"/>
                  <w:u w:val="single"/>
                  <w:lang w:eastAsia="ru-RU"/>
                </w:rPr>
                <w:t>от 01.06.2023 N 904</w:t>
              </w:r>
            </w:hyperlink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)</w:t>
            </w:r>
          </w:p>
          <w:p w:rsidR="000406D6" w:rsidRPr="003D7359" w:rsidRDefault="000406D6" w:rsidP="00071D57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372D" w:rsidRPr="0073372D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В заявке о подключении, направляемой заявителем на имя ед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ного оператора газификации, или регионального оператора г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зификации, указываются следующие сведения:</w:t>
            </w:r>
            <w:bookmarkStart w:id="11" w:name="l116"/>
            <w:bookmarkEnd w:id="11"/>
          </w:p>
          <w:p w:rsidR="0073372D" w:rsidRPr="0073372D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а)</w:t>
            </w:r>
            <w:r w:rsid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реквизиты заявителя (для юридических лиц - полное наим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нование и государственный регистрационный номер записи в Едином государственном реестре юридических лиц, дата ее внесения в реестр, почтовый адрес, контактный телефон и адрес электронной почты (при наличии), для индивидуальных пре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принимателей - государственный регистрационный номер зап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си в Едином государственном реестре индивидуальных пре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принимателей, дата ее внесения в указанный реестр, почтовый адрес, контактный телефон и адрес электронной</w:t>
            </w:r>
            <w:proofErr w:type="gramEnd"/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почты (при наличии), для физических лиц - фамилия, имя, отчество (при наличии), серия, номер и дата выдачи паспорта или иного д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кумента, удостоверяющего личность в соответствии с законод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тельством Российской Федерации, почтовый адрес, контактный телефон и адрес электронной почты (при наличии);</w:t>
            </w:r>
            <w:bookmarkStart w:id="12" w:name="l117"/>
            <w:bookmarkStart w:id="13" w:name="l1850"/>
            <w:bookmarkStart w:id="14" w:name="l2528"/>
            <w:bookmarkEnd w:id="12"/>
            <w:bookmarkEnd w:id="13"/>
            <w:bookmarkEnd w:id="14"/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(в ред. П</w:t>
            </w: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о</w:t>
            </w: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становления Правительства РФ </w:t>
            </w:r>
            <w:hyperlink r:id="rId8" w:anchor="l361" w:tgtFrame="_blank" w:history="1">
              <w:r w:rsidRPr="0073372D">
                <w:rPr>
                  <w:rFonts w:ascii="Times New Roman" w:eastAsia="Times New Roman" w:hAnsi="Times New Roman" w:cs="Times New Roman"/>
                  <w:color w:val="808080"/>
                  <w:kern w:val="0"/>
                  <w:u w:val="single"/>
                  <w:lang w:eastAsia="ru-RU"/>
                </w:rPr>
                <w:t>от 16.04.2024 N 484</w:t>
              </w:r>
            </w:hyperlink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)</w:t>
            </w:r>
          </w:p>
          <w:p w:rsidR="0073372D" w:rsidRPr="0073372D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б)</w:t>
            </w:r>
            <w:r w:rsid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наименование и место нахождения объекта капитального строительства, который необходимо подключить (технологич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ски присоединить) к сети газораспределения, а также кадастр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вый номер земельного участка (при подаче заявки о подключ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нии через единый портал), на котором расположены (будут ра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полагаться) объекты капитального строительства заявителя, к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торые необходимо подключить (технологически присоединить) к сети газораспределения;</w:t>
            </w:r>
            <w:bookmarkStart w:id="15" w:name="l118"/>
            <w:bookmarkEnd w:id="15"/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(в ред. Постановления Правительства РФ </w:t>
            </w:r>
            <w:hyperlink r:id="rId9" w:anchor="l361" w:tgtFrame="_blank" w:history="1">
              <w:r w:rsidRPr="0073372D">
                <w:rPr>
                  <w:rFonts w:ascii="Times New Roman" w:eastAsia="Times New Roman" w:hAnsi="Times New Roman" w:cs="Times New Roman"/>
                  <w:color w:val="808080"/>
                  <w:kern w:val="0"/>
                  <w:u w:val="single"/>
                  <w:lang w:eastAsia="ru-RU"/>
                </w:rPr>
                <w:t>от 16.04.2024 N 484</w:t>
              </w:r>
            </w:hyperlink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)</w:t>
            </w:r>
            <w:proofErr w:type="gramEnd"/>
          </w:p>
          <w:p w:rsidR="0073372D" w:rsidRPr="0073372D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lastRenderedPageBreak/>
              <w:t>в)</w:t>
            </w:r>
            <w:r w:rsid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характер потребления газа;</w:t>
            </w:r>
            <w:bookmarkStart w:id="16" w:name="l119"/>
            <w:bookmarkEnd w:id="16"/>
          </w:p>
          <w:p w:rsidR="00627148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г)</w:t>
            </w:r>
            <w:r w:rsid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сроки проектирования, строительства и поэтапного введения в эксплуатацию объекта капитального строительства (в том числе по этапам и очередям) </w:t>
            </w:r>
          </w:p>
          <w:p w:rsidR="00627148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д)</w:t>
            </w:r>
            <w:r w:rsid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планируемое распределение максимального часового расхода газа отдельно по различным точкам подключения (если их н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сколько) с обоснованием необходимости подключения нескол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ь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ких точек </w:t>
            </w:r>
          </w:p>
          <w:p w:rsidR="0073372D" w:rsidRPr="0073372D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е)</w:t>
            </w:r>
            <w:r w:rsid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номер и дата выдачи технических условий, полученных ранее заявителем (если заявителю ранее предоставлялись технические условия), срок действия которых на момент подачи заявки о подключении (технологическом присоединении) не истек, н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мер и дата выдачи предварительных технических условий, п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лученных ранее перспективным заявителем (если перспекти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ному заявителю ранее выдавались предварительные технич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ские условия), срок действия которых на момент подачи заявки о подключении не истек;</w:t>
            </w:r>
            <w:bookmarkStart w:id="17" w:name="l122"/>
            <w:bookmarkEnd w:id="17"/>
            <w:proofErr w:type="gramEnd"/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(в ред. Постановления Правительства РФ </w:t>
            </w:r>
            <w:hyperlink r:id="rId10" w:anchor="l32" w:tgtFrame="_blank" w:history="1">
              <w:r w:rsidRPr="0073372D">
                <w:rPr>
                  <w:rFonts w:ascii="Times New Roman" w:eastAsia="Times New Roman" w:hAnsi="Times New Roman" w:cs="Times New Roman"/>
                  <w:color w:val="808080"/>
                  <w:kern w:val="0"/>
                  <w:u w:val="single"/>
                  <w:lang w:eastAsia="ru-RU"/>
                </w:rPr>
                <w:t>от 06.05.2024 N 595</w:t>
              </w:r>
            </w:hyperlink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)</w:t>
            </w:r>
            <w:bookmarkStart w:id="18" w:name="l2774"/>
            <w:bookmarkEnd w:id="18"/>
          </w:p>
          <w:p w:rsidR="0073372D" w:rsidRPr="0073372D" w:rsidRDefault="0073372D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73372D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ж)</w:t>
            </w:r>
            <w:r w:rsid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рии (при осуществлении строительства, реконструкции объекта федерального значения, объекта регионального значения или объекта местного значения на земельном участке или земел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ь</w:t>
            </w:r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ных участках, образованных из земель и (или) земельных участков, указанных в </w:t>
            </w:r>
            <w:hyperlink r:id="rId11" w:anchor="l1888" w:tgtFrame="_blank" w:history="1">
              <w:r w:rsidRPr="0073372D">
                <w:rPr>
                  <w:rFonts w:ascii="Times New Roman" w:eastAsia="Times New Roman" w:hAnsi="Times New Roman" w:cs="Times New Roman"/>
                  <w:color w:val="3072C4"/>
                  <w:kern w:val="0"/>
                  <w:u w:val="single"/>
                  <w:lang w:eastAsia="ru-RU"/>
                </w:rPr>
                <w:t>части 7.3</w:t>
              </w:r>
            </w:hyperlink>
            <w:r w:rsidRPr="007337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статьи 51 Градостроительного кодекса Российской Федерации).</w:t>
            </w:r>
            <w:bookmarkStart w:id="19" w:name="l123"/>
            <w:bookmarkEnd w:id="19"/>
            <w:proofErr w:type="gramEnd"/>
          </w:p>
          <w:p w:rsidR="000406D6" w:rsidRPr="003D7359" w:rsidRDefault="000406D6" w:rsidP="00071D57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642" w:rsidRPr="00F24642" w:rsidRDefault="00F24642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К заявке о подключении, направл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я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емой заявителем единому оператору газификации, региональному опер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тору газификации или исполнит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лю, прилагаются следующие док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</w:t>
            </w:r>
            <w:r w:rsidRPr="00F24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менты:</w:t>
            </w:r>
            <w:bookmarkStart w:id="20" w:name="l133"/>
            <w:bookmarkEnd w:id="20"/>
          </w:p>
          <w:p w:rsidR="005F5339" w:rsidRPr="005F5339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ситуационный п</w:t>
            </w:r>
            <w:bookmarkStart w:id="21" w:name="_GoBack"/>
            <w:bookmarkEnd w:id="21"/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лан;</w:t>
            </w:r>
            <w:bookmarkStart w:id="22" w:name="l134"/>
            <w:bookmarkEnd w:id="22"/>
          </w:p>
          <w:p w:rsidR="005F5339" w:rsidRPr="005F5339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топографическая карта земельн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го участка заявителя в масштабе 1:500 (со всеми наземными и по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земными коммуникациями и с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оружениями), согласованная с орг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низациями, эксплуатирующими указанные коммуникации и соор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жения (не прилагается, если зака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чик - физическое лицо);</w:t>
            </w:r>
            <w:bookmarkStart w:id="23" w:name="l135"/>
            <w:bookmarkEnd w:id="23"/>
          </w:p>
          <w:p w:rsidR="00431F96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копия документа, подтвержда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ю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щего право собственности или иное предусмотренное законом право на объект капитального строительства и (или) земельный участок, на кот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ром расположены (будут распол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гаться) объекты капитального стр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ительства</w:t>
            </w:r>
            <w:r w:rsidR="00431F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;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</w:p>
          <w:p w:rsidR="005F5339" w:rsidRPr="005F5339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доверенность или иные докуме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ты, подтверждающие полномочия представителя заявителя (в случае,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если заявка о подключении подае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ся представителем заявителя);</w:t>
            </w:r>
            <w:bookmarkStart w:id="24" w:name="l137"/>
            <w:bookmarkEnd w:id="24"/>
          </w:p>
          <w:p w:rsidR="005F5339" w:rsidRPr="005F5339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д)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расчет максимального часового расхода газа (не прилагается, если планируемый максимальный час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вой расход газа не более 7 куб. ме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</w:t>
            </w:r>
            <w:r w:rsidR="00431F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ров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;</w:t>
            </w:r>
            <w:bookmarkStart w:id="25" w:name="l138"/>
            <w:bookmarkEnd w:id="25"/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(в ред. Постановления Прав</w:t>
            </w: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и</w:t>
            </w: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тельства РФ </w:t>
            </w:r>
            <w:hyperlink r:id="rId12" w:anchor="l361" w:tgtFrame="_blank" w:history="1">
              <w:r w:rsidRPr="005F5339">
                <w:rPr>
                  <w:rFonts w:ascii="Times New Roman" w:eastAsia="Times New Roman" w:hAnsi="Times New Roman" w:cs="Times New Roman"/>
                  <w:color w:val="808080"/>
                  <w:kern w:val="0"/>
                  <w:u w:val="single"/>
                  <w:lang w:eastAsia="ru-RU"/>
                </w:rPr>
                <w:t>от 16.04.2024 N 484</w:t>
              </w:r>
            </w:hyperlink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)</w:t>
            </w:r>
          </w:p>
          <w:p w:rsidR="005F5339" w:rsidRPr="005F5339" w:rsidRDefault="005F533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е)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документы, предусмотренные пунктом 106 настоящих Правил, в случае предоставления технических условий при уступке мощности;</w:t>
            </w:r>
            <w:bookmarkStart w:id="26" w:name="l139"/>
            <w:bookmarkEnd w:id="26"/>
          </w:p>
          <w:p w:rsidR="005F5339" w:rsidRPr="005F5339" w:rsidRDefault="005F5339" w:rsidP="00071D57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F533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ж)</w:t>
            </w:r>
            <w:r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копия разработанной</w:t>
            </w:r>
            <w:r w:rsidR="00431F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 строительство сети </w:t>
            </w:r>
            <w:proofErr w:type="spellStart"/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газопотребления</w:t>
            </w:r>
            <w:proofErr w:type="spellEnd"/>
            <w:r w:rsidRPr="005F53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в пределах территории, подлежащей комплексному развитию, в случае осуществления подключения (технологического присоединения), предусмотренного пунктом 97 настоящих Правил;</w:t>
            </w:r>
            <w:bookmarkStart w:id="27" w:name="l140"/>
            <w:bookmarkEnd w:id="27"/>
          </w:p>
          <w:p w:rsidR="003D7359" w:rsidRPr="003D7359" w:rsidRDefault="003D735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протокол общего собрания членов садоводческого некоммерческого товарищества (в случае подачи з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явки о подключении собственником домовладения, находящегося в гр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ницах территории садоводства, с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держащий решение о проведении </w:t>
            </w:r>
            <w:proofErr w:type="spellStart"/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догазификации</w:t>
            </w:r>
            <w:proofErr w:type="spellEnd"/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;</w:t>
            </w:r>
            <w:bookmarkStart w:id="28" w:name="l2802"/>
            <w:bookmarkEnd w:id="28"/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(введен Постано</w:t>
            </w:r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в</w:t>
            </w:r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lastRenderedPageBreak/>
              <w:t>лением Правительства РФ </w:t>
            </w:r>
            <w:hyperlink r:id="rId13" w:anchor="l0" w:tgtFrame="_blank" w:history="1">
              <w:r w:rsidRPr="003D7359">
                <w:rPr>
                  <w:rFonts w:ascii="Times New Roman" w:eastAsia="Times New Roman" w:hAnsi="Times New Roman" w:cs="Times New Roman"/>
                  <w:color w:val="808080"/>
                  <w:kern w:val="0"/>
                  <w:u w:val="single"/>
                  <w:lang w:eastAsia="ru-RU"/>
                </w:rPr>
                <w:t>от 16.04.2024 N 484</w:t>
              </w:r>
            </w:hyperlink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)</w:t>
            </w:r>
            <w:proofErr w:type="gramEnd"/>
          </w:p>
          <w:p w:rsidR="000406D6" w:rsidRPr="003D7359" w:rsidRDefault="003D7359" w:rsidP="00071D57">
            <w:pPr>
              <w:widowControl/>
              <w:shd w:val="clear" w:color="auto" w:fill="FFFFFF"/>
              <w:suppressAutoHyphens w:val="0"/>
              <w:autoSpaceDN/>
              <w:spacing w:after="30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копия предварительных технич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ских условий, полученных ранее перспективным заявителем (при наличии)</w:t>
            </w:r>
            <w:bookmarkStart w:id="29" w:name="l2612"/>
            <w:bookmarkEnd w:id="29"/>
            <w:r w:rsidR="00431F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;</w:t>
            </w:r>
            <w:r w:rsidRPr="003D7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(введен.</w:t>
            </w:r>
            <w:proofErr w:type="gramEnd"/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 xml:space="preserve"> </w:t>
            </w:r>
            <w:proofErr w:type="gramStart"/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Постановлением Правительства РФ </w:t>
            </w:r>
            <w:hyperlink r:id="rId14" w:anchor="l32" w:tgtFrame="_blank" w:history="1">
              <w:r w:rsidRPr="003D7359">
                <w:rPr>
                  <w:rFonts w:ascii="Times New Roman" w:eastAsia="Times New Roman" w:hAnsi="Times New Roman" w:cs="Times New Roman"/>
                  <w:color w:val="808080"/>
                  <w:kern w:val="0"/>
                  <w:u w:val="single"/>
                  <w:lang w:eastAsia="ru-RU"/>
                </w:rPr>
                <w:t>от 06.05.2024 N 595</w:t>
              </w:r>
            </w:hyperlink>
            <w:r w:rsidRPr="003D7359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</w:rPr>
              <w:t>)</w:t>
            </w:r>
            <w:proofErr w:type="gramEnd"/>
          </w:p>
        </w:tc>
      </w:tr>
    </w:tbl>
    <w:p w:rsidR="000406D6" w:rsidRDefault="00792F1B">
      <w:pPr>
        <w:pStyle w:val="Standard"/>
        <w:spacing w:after="0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****Правила подключения №1547- </w:t>
      </w:r>
      <w:r w:rsidRPr="00F443B5">
        <w:rPr>
          <w:rFonts w:ascii="Times New Roman" w:hAnsi="Times New Roman" w:cs="Times New Roman"/>
        </w:rPr>
        <w:t xml:space="preserve">Постановление Правительства РФ от 13.09.2021 N 1547 </w:t>
      </w:r>
      <w:r w:rsidR="007A2321" w:rsidRPr="00F443B5">
        <w:rPr>
          <w:rFonts w:ascii="Times New Roman" w:hAnsi="Times New Roman" w:cs="Times New Roman"/>
        </w:rPr>
        <w:t xml:space="preserve"> </w:t>
      </w:r>
      <w:r w:rsidR="007A2321" w:rsidRPr="00F443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(ред. от 06.05.2024г.) </w:t>
      </w:r>
      <w:r w:rsidRPr="00F443B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Об утверждении Правил подключения (технологического присоединения)</w:t>
      </w:r>
      <w:r w:rsidR="001D06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газоиспользующего оборудования и 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:rsidR="000406D6" w:rsidRDefault="000406D6">
      <w:pPr>
        <w:pStyle w:val="Standard"/>
        <w:spacing w:after="0"/>
        <w:ind w:firstLine="142"/>
        <w:rPr>
          <w:rFonts w:ascii="Times New Roman" w:hAnsi="Times New Roman" w:cs="Times New Roman"/>
        </w:rPr>
      </w:pPr>
    </w:p>
    <w:p w:rsidR="00BB3F46" w:rsidRPr="00BB3F46" w:rsidRDefault="00BB3F46" w:rsidP="00BB3F46">
      <w:pPr>
        <w:widowControl/>
        <w:shd w:val="clear" w:color="auto" w:fill="FFFFFF"/>
        <w:suppressAutoHyphens w:val="0"/>
        <w:autoSpaceDN/>
        <w:spacing w:after="300" w:line="375" w:lineRule="atLeast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proofErr w:type="gramStart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"заявитель" - юридическое или физическое лицо, индивидуальный предприниматель, намеренные осуществить или осуществляющие строительство (реконструкцию) объекта капитального строительства с последующим его подключением (технологическим присоединением) к сети газораспределения или подключение (технологич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ское присоединение) объекта капитального строительства к сети газораспределения, а также в случае присоединения сети газораспределения к другой сети газораспр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деления - юридическое лицо, осуществляющее строительство сети газораспределения или реконструкцию существующей сети газораспределения, принадлежащей ему на</w:t>
      </w:r>
      <w:proofErr w:type="gramEnd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proofErr w:type="gramStart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праве</w:t>
      </w:r>
      <w:proofErr w:type="gramEnd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собственности или на ином предусмотренном законом праве;</w:t>
      </w:r>
      <w:bookmarkStart w:id="30" w:name="l38"/>
      <w:bookmarkStart w:id="31" w:name="l1835"/>
      <w:bookmarkEnd w:id="30"/>
      <w:bookmarkEnd w:id="31"/>
    </w:p>
    <w:p w:rsidR="000406D6" w:rsidRPr="00BB3F46" w:rsidRDefault="00BB3F46" w:rsidP="00071D57">
      <w:pPr>
        <w:widowControl/>
        <w:shd w:val="clear" w:color="auto" w:fill="FFFFFF"/>
        <w:suppressAutoHyphens w:val="0"/>
        <w:autoSpaceDN/>
        <w:spacing w:after="300" w:line="375" w:lineRule="atLeast"/>
        <w:rPr>
          <w:rFonts w:ascii="Times New Roman" w:hAnsi="Times New Roman" w:cs="Times New Roman"/>
        </w:rPr>
      </w:pPr>
      <w:proofErr w:type="gramStart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"исполнитель" - газораспределительная организация, владеющая на праве собственности или на ином предусмотренном законом праве сетью газораспределения, к кот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рой планируется подключение (технологическое присоединение) объекта капитального строительства или сети газораспределения заявителей, а также осуществляющая строительство перспективных сетей газораспределения, к которым планируется подключение (технологическое присоединение) перспективных объектов капитального строительства, а в случае, если подключение возможно к существующим сетям газораспределения или </w:t>
      </w:r>
      <w:proofErr w:type="spellStart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газопотребления</w:t>
      </w:r>
      <w:proofErr w:type="spellEnd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основных абонентов, - газораспределительная</w:t>
      </w:r>
      <w:proofErr w:type="gramEnd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организация, с сетями которой технологически связаны сети газораспределения или </w:t>
      </w:r>
      <w:proofErr w:type="spellStart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газопотребления</w:t>
      </w:r>
      <w:proofErr w:type="spellEnd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 к которым планируется подключение объектов капитального строительства заявителей, в том числе через сети других основных абонентов;</w:t>
      </w:r>
      <w:bookmarkStart w:id="32" w:name="l42"/>
      <w:bookmarkStart w:id="33" w:name="l1839"/>
      <w:bookmarkStart w:id="34" w:name="l2606"/>
      <w:bookmarkEnd w:id="32"/>
      <w:bookmarkEnd w:id="33"/>
      <w:bookmarkEnd w:id="34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 </w:t>
      </w:r>
      <w:r w:rsidRPr="00BB3F46">
        <w:rPr>
          <w:rFonts w:ascii="Times New Roman" w:eastAsia="Times New Roman" w:hAnsi="Times New Roman" w:cs="Times New Roman"/>
          <w:color w:val="808080"/>
          <w:kern w:val="0"/>
          <w:lang w:eastAsia="ru-RU"/>
        </w:rPr>
        <w:t>(в ред. Постановления Правительства РФ </w:t>
      </w:r>
      <w:hyperlink r:id="rId15" w:anchor="l17" w:tgtFrame="_blank" w:history="1">
        <w:r w:rsidRPr="00BB3F46">
          <w:rPr>
            <w:rFonts w:ascii="Times New Roman" w:eastAsia="Times New Roman" w:hAnsi="Times New Roman" w:cs="Times New Roman"/>
            <w:color w:val="808080"/>
            <w:kern w:val="0"/>
            <w:u w:val="single"/>
            <w:lang w:eastAsia="ru-RU"/>
          </w:rPr>
          <w:t>от 06.05.2024 N 595</w:t>
        </w:r>
      </w:hyperlink>
      <w:r w:rsidRPr="00BB3F46">
        <w:rPr>
          <w:rFonts w:ascii="Times New Roman" w:eastAsia="Times New Roman" w:hAnsi="Times New Roman" w:cs="Times New Roman"/>
          <w:color w:val="808080"/>
          <w:kern w:val="0"/>
          <w:lang w:eastAsia="ru-RU"/>
        </w:rPr>
        <w:t>)</w:t>
      </w:r>
    </w:p>
    <w:p w:rsidR="00BB3F46" w:rsidRPr="00BB3F46" w:rsidRDefault="00BB3F46" w:rsidP="00BB3F46">
      <w:pPr>
        <w:widowControl/>
        <w:shd w:val="clear" w:color="auto" w:fill="FFFFFF"/>
        <w:suppressAutoHyphens w:val="0"/>
        <w:autoSpaceDN/>
        <w:spacing w:after="300" w:line="375" w:lineRule="atLeast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"основной абонент" - юридическое или физическое лицо, которое не оказывает услуги по транспортировке газа, владеющее на праве собственности или на ином пред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</w:t>
      </w:r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смотренном законом праве сетью газораспределения и (или) </w:t>
      </w:r>
      <w:proofErr w:type="spellStart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газопотребления</w:t>
      </w:r>
      <w:proofErr w:type="spellEnd"/>
      <w:r w:rsidRPr="00BB3F4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;</w:t>
      </w:r>
      <w:bookmarkStart w:id="35" w:name="l46"/>
      <w:bookmarkEnd w:id="35"/>
    </w:p>
    <w:p w:rsidR="000406D6" w:rsidRPr="00D3270F" w:rsidRDefault="00792F1B" w:rsidP="00BB0E10">
      <w:pPr>
        <w:pStyle w:val="Standard"/>
        <w:spacing w:after="0"/>
        <w:ind w:firstLine="142"/>
        <w:rPr>
          <w:color w:val="FF0000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b/>
          <w:bCs/>
        </w:rPr>
        <w:t xml:space="preserve">  Директор МУП г. Лермонтова «Лермонтовгоргаз»                             </w:t>
      </w:r>
      <w:r w:rsidR="001D0684">
        <w:rPr>
          <w:rFonts w:ascii="Times New Roman" w:hAnsi="Times New Roman" w:cs="Times New Roman"/>
          <w:b/>
          <w:bCs/>
        </w:rPr>
        <w:t xml:space="preserve">          </w:t>
      </w:r>
      <w:r w:rsidR="006E6CAA">
        <w:rPr>
          <w:rFonts w:ascii="Times New Roman" w:hAnsi="Times New Roman" w:cs="Times New Roman"/>
          <w:b/>
          <w:bCs/>
        </w:rPr>
        <w:t xml:space="preserve">                        </w:t>
      </w:r>
      <w:r w:rsidR="001D0684">
        <w:rPr>
          <w:rFonts w:ascii="Times New Roman" w:hAnsi="Times New Roman" w:cs="Times New Roman"/>
          <w:b/>
          <w:bCs/>
        </w:rPr>
        <w:t xml:space="preserve">   </w:t>
      </w:r>
      <w:r w:rsidR="00CE7528">
        <w:rPr>
          <w:rFonts w:ascii="Times New Roman" w:hAnsi="Times New Roman" w:cs="Times New Roman"/>
          <w:b/>
          <w:bCs/>
        </w:rPr>
        <w:t>В.А. Аникеев</w:t>
      </w:r>
    </w:p>
    <w:sectPr w:rsidR="000406D6" w:rsidRPr="00D3270F" w:rsidSect="00BB0E10">
      <w:pgSz w:w="16838" w:h="11906" w:orient="landscape"/>
      <w:pgMar w:top="1134" w:right="255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49" w:rsidRDefault="00211049">
      <w:pPr>
        <w:spacing w:after="0" w:line="240" w:lineRule="auto"/>
      </w:pPr>
      <w:r>
        <w:separator/>
      </w:r>
    </w:p>
  </w:endnote>
  <w:endnote w:type="continuationSeparator" w:id="0">
    <w:p w:rsidR="00211049" w:rsidRDefault="0021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49" w:rsidRDefault="002110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11049" w:rsidRDefault="00211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406D6"/>
    <w:rsid w:val="000033FD"/>
    <w:rsid w:val="000406D6"/>
    <w:rsid w:val="00071D57"/>
    <w:rsid w:val="00085E0B"/>
    <w:rsid w:val="000A59BB"/>
    <w:rsid w:val="000B39D4"/>
    <w:rsid w:val="000F3A6E"/>
    <w:rsid w:val="00151A66"/>
    <w:rsid w:val="001A5831"/>
    <w:rsid w:val="001D0684"/>
    <w:rsid w:val="00211049"/>
    <w:rsid w:val="00393ACE"/>
    <w:rsid w:val="003D7359"/>
    <w:rsid w:val="00416DDD"/>
    <w:rsid w:val="00431F96"/>
    <w:rsid w:val="0048684C"/>
    <w:rsid w:val="00517285"/>
    <w:rsid w:val="00544BAA"/>
    <w:rsid w:val="005F33D6"/>
    <w:rsid w:val="005F5339"/>
    <w:rsid w:val="00627148"/>
    <w:rsid w:val="006E6CAA"/>
    <w:rsid w:val="00711BD5"/>
    <w:rsid w:val="0073372D"/>
    <w:rsid w:val="0078231D"/>
    <w:rsid w:val="00792F1B"/>
    <w:rsid w:val="007A2321"/>
    <w:rsid w:val="00815C34"/>
    <w:rsid w:val="00823ADE"/>
    <w:rsid w:val="008578E2"/>
    <w:rsid w:val="008F0031"/>
    <w:rsid w:val="00933AAF"/>
    <w:rsid w:val="00955CFF"/>
    <w:rsid w:val="009D03E7"/>
    <w:rsid w:val="009D4059"/>
    <w:rsid w:val="00A528E4"/>
    <w:rsid w:val="00A87165"/>
    <w:rsid w:val="00BB0E10"/>
    <w:rsid w:val="00BB3F46"/>
    <w:rsid w:val="00BD2D03"/>
    <w:rsid w:val="00C32793"/>
    <w:rsid w:val="00C555ED"/>
    <w:rsid w:val="00CE7528"/>
    <w:rsid w:val="00D0162E"/>
    <w:rsid w:val="00D20705"/>
    <w:rsid w:val="00D3270F"/>
    <w:rsid w:val="00E42FDF"/>
    <w:rsid w:val="00E81B9D"/>
    <w:rsid w:val="00E9713A"/>
    <w:rsid w:val="00ED093E"/>
    <w:rsid w:val="00F24642"/>
    <w:rsid w:val="00F443B5"/>
    <w:rsid w:val="00F61AD2"/>
    <w:rsid w:val="00F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468" TargetMode="External"/><Relationship Id="rId13" Type="http://schemas.openxmlformats.org/officeDocument/2006/relationships/hyperlink" Target="https://normativ.kontur.ru/document?moduleId=1&amp;documentId=478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49842" TargetMode="External"/><Relationship Id="rId12" Type="http://schemas.openxmlformats.org/officeDocument/2006/relationships/hyperlink" Target="https://normativ.kontur.ru/document?moduleId=1&amp;documentId=46946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697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71194" TargetMode="External"/><Relationship Id="rId10" Type="http://schemas.openxmlformats.org/officeDocument/2006/relationships/hyperlink" Target="https://normativ.kontur.ru/document?moduleId=1&amp;documentId=4711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69468" TargetMode="External"/><Relationship Id="rId14" Type="http://schemas.openxmlformats.org/officeDocument/2006/relationships/hyperlink" Target="https://normativ.kontur.ru/document?moduleId=1&amp;documentId=47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2024-12-28T06:52:00Z</cp:lastPrinted>
  <dcterms:created xsi:type="dcterms:W3CDTF">2024-12-25T11:31:00Z</dcterms:created>
  <dcterms:modified xsi:type="dcterms:W3CDTF">2025-12-24T06:54:00Z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